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h.gjdgxs" w:id="0"/>
      <w:bookmarkEnd w:id="0"/>
      <w:r w:rsidDel="00000000" w:rsidR="00000000" w:rsidRPr="00000000">
        <w:rPr>
          <w:b w:val="1"/>
          <w:rtl w:val="0"/>
        </w:rPr>
        <w:t xml:space="preserve">Rubric: Composition 2</w:t>
      </w:r>
    </w:p>
    <w:p w:rsidR="00000000" w:rsidDel="00000000" w:rsidP="00000000" w:rsidRDefault="00000000" w:rsidRPr="00000000">
      <w:pPr>
        <w:contextualSpacing w:val="0"/>
      </w:pPr>
      <w:r w:rsidDel="00000000" w:rsidR="00000000" w:rsidRPr="00000000">
        <w:rPr>
          <w:rtl w:val="0"/>
        </w:rPr>
      </w:r>
    </w:p>
    <w:tbl>
      <w:tblPr>
        <w:tblStyle w:val="Table1"/>
        <w:bidi w:val="0"/>
        <w:tblW w:w="131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800"/>
        <w:gridCol w:w="6045"/>
        <w:gridCol w:w="1170"/>
        <w:gridCol w:w="990"/>
        <w:gridCol w:w="810"/>
        <w:gridCol w:w="1080"/>
        <w:gridCol w:w="1260"/>
        <w:tblGridChange w:id="0">
          <w:tblGrid>
            <w:gridCol w:w="1800"/>
            <w:gridCol w:w="6045"/>
            <w:gridCol w:w="1170"/>
            <w:gridCol w:w="990"/>
            <w:gridCol w:w="810"/>
            <w:gridCol w:w="1080"/>
            <w:gridCol w:w="1260"/>
          </w:tblGrid>
        </w:tblGridChange>
      </w:tblGrid>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Traits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Evaluative Criteria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color w:val="000000"/>
                <w:rtl w:val="0"/>
              </w:rPr>
              <w:t xml:space="preserve">Excellent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color w:val="000000"/>
                <w:rtl w:val="0"/>
              </w:rPr>
              <w:t xml:space="preserve">Very Good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color w:val="000000"/>
                <w:rtl w:val="0"/>
              </w:rPr>
              <w:t xml:space="preserve">Good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color w:val="000000"/>
                <w:rtl w:val="0"/>
              </w:rPr>
              <w:t xml:space="preserve">Average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color w:val="000000"/>
                <w:rtl w:val="0"/>
              </w:rPr>
              <w:t xml:space="preserve">Below Average </w:t>
            </w:r>
            <w:r w:rsidDel="00000000" w:rsidR="00000000" w:rsidRPr="00000000">
              <w:rPr>
                <w:rtl w:val="0"/>
              </w:rPr>
            </w:r>
          </w:p>
        </w:tc>
      </w:tr>
      <w:tr>
        <w:trPr>
          <w:trHeight w:val="44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Rhetoric &amp; Communication</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Problem Statement and History</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4"/>
                <w:szCs w:val="14"/>
                <w:rtl w:val="0"/>
              </w:rPr>
              <w:t xml:space="preserve">The composition clearly presents and analyzes a significant political/social/cultural problem and establishes the problem’s urgency, its scope, and its severity. Carefully selected relevant historical aspects of the problem are woven into the analysis.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Analysis of Solutions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4"/>
                <w:szCs w:val="14"/>
                <w:rtl w:val="0"/>
              </w:rPr>
              <w:t xml:space="preserve">The composition presents and analyzes solution(s)  to the central problem. Rigorous and well documented arguments that address a possible solution or solutions are presented clearly. </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Argument Development and Counterargument (Written):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4"/>
                <w:szCs w:val="14"/>
                <w:rtl w:val="0"/>
              </w:rPr>
              <w:t xml:space="preserve">Rigorou arguments of a possible solution or solutions are developed through the use of expert support, persuasive evidence, and well chosen rhetorical appeals. The composition anticipates and responds effectively and appropriately to oppositional claims. For the level of this course and for this particular assignment, the arguments are sophisticated, creative, persuasive, insightful, and deeply embedded in scholarly discourse. </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Argumentation</w:t>
            </w:r>
          </w:p>
          <w:p w:rsidR="00000000" w:rsidDel="00000000" w:rsidP="00000000" w:rsidRDefault="00000000" w:rsidRPr="00000000">
            <w:pPr>
              <w:contextualSpacing w:val="0"/>
            </w:pPr>
            <w:r w:rsidDel="00000000" w:rsidR="00000000" w:rsidRPr="00000000">
              <w:rPr>
                <w:sz w:val="18"/>
                <w:szCs w:val="18"/>
                <w:rtl w:val="0"/>
              </w:rPr>
              <w:t xml:space="preserve">(Multi-modal): </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4"/>
                <w:szCs w:val="14"/>
                <w:rtl w:val="0"/>
              </w:rPr>
              <w:t xml:space="preserve">Uses various types of evidence and/or genres to create multi-modal elements that strengthen and deepen explanations, summaries, and arguments.  Visual evidence is dense and diverse in information, yet communicates information clearly and effectively. </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Arrangement of Evidence: </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4"/>
                <w:szCs w:val="14"/>
                <w:rtl w:val="0"/>
              </w:rPr>
              <w:t xml:space="preserve">The presentation of evidence is arranged coherently and demonstrates a well documented analytical synthesis. </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2"/>
        <w:bidi w:val="0"/>
        <w:tblW w:w="131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728"/>
        <w:gridCol w:w="6120"/>
        <w:gridCol w:w="1170"/>
        <w:gridCol w:w="990"/>
        <w:gridCol w:w="810"/>
        <w:gridCol w:w="1080"/>
        <w:gridCol w:w="1260"/>
        <w:tblGridChange w:id="0">
          <w:tblGrid>
            <w:gridCol w:w="1728"/>
            <w:gridCol w:w="6120"/>
            <w:gridCol w:w="1170"/>
            <w:gridCol w:w="990"/>
            <w:gridCol w:w="810"/>
            <w:gridCol w:w="1080"/>
            <w:gridCol w:w="1260"/>
          </w:tblGrid>
        </w:tblGridChange>
      </w:tblGrid>
      <w:tr>
        <w:tc>
          <w:tcPr/>
          <w:p w:rsidR="00000000" w:rsidDel="00000000" w:rsidP="00000000" w:rsidRDefault="00000000" w:rsidRPr="00000000">
            <w:pPr>
              <w:contextualSpacing w:val="0"/>
            </w:pPr>
            <w:r w:rsidDel="00000000" w:rsidR="00000000" w:rsidRPr="00000000">
              <w:rPr>
                <w:color w:val="000000"/>
                <w:rtl w:val="0"/>
              </w:rPr>
              <w:t xml:space="preserve">Evidence &amp; Information Literacy</w:t>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Research (both traditional and new media)</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4"/>
                <w:szCs w:val="14"/>
                <w:rtl w:val="0"/>
              </w:rPr>
              <w:t xml:space="preserve">The sources demonstrate a sense for locating, selecting, and organizing sources. The body of sources supporting the composition is well developed and varied in source type.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10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Credibility &amp; Timeliness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4"/>
                <w:szCs w:val="14"/>
                <w:rtl w:val="0"/>
              </w:rPr>
              <w:t xml:space="preserve">The selected sources are both credible and timely and offer clear support to all of the composition’s argumentative moves. </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Source Use and Integration</w:t>
            </w:r>
          </w:p>
          <w:p w:rsidR="00000000" w:rsidDel="00000000" w:rsidP="00000000" w:rsidRDefault="00000000" w:rsidRPr="00000000">
            <w:pPr>
              <w:contextualSpacing w:val="0"/>
            </w:pPr>
            <w:r w:rsidDel="00000000" w:rsidR="00000000" w:rsidRPr="00000000">
              <w:rPr>
                <w:sz w:val="18"/>
                <w:szCs w:val="18"/>
                <w:rtl w:val="0"/>
              </w:rPr>
              <w:t xml:space="preserve"> </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4"/>
                <w:szCs w:val="14"/>
                <w:rtl w:val="0"/>
              </w:rPr>
              <w:t xml:space="preserve">The composition uses sources appropriately in distinct and different capacities:  primary/secondary, exhibit/argument/background. The author integrates the sources seamlessly into the composition.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Documentation</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4"/>
                <w:szCs w:val="14"/>
                <w:rtl w:val="0"/>
              </w:rPr>
              <w:t xml:space="preserve">All uses of evidence are documented and formatted appropriately, and the author recognizes instances when citations are needed.</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Annotations &amp; Evaluations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4"/>
                <w:szCs w:val="14"/>
                <w:rtl w:val="0"/>
              </w:rPr>
              <w:t xml:space="preserve">The annotations and source evaluations are well developed and help to demonstrate the author’s control over all of the sources used. </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color w:val="000000"/>
                <w:rtl w:val="0"/>
              </w:rPr>
              <w:t xml:space="preserve">Style, Mechanics, &amp; Conventions</w:t>
            </w:r>
          </w:p>
        </w:tc>
      </w:tr>
      <w:tr>
        <w:trPr>
          <w:trHeight w:val="8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Clarity, Sentence Structure, &amp; Readability</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4"/>
                <w:szCs w:val="14"/>
                <w:rtl w:val="0"/>
              </w:rPr>
              <w:t xml:space="preserve">The writing is clear, eloquent, characterized by precise word choices, purposeful sentences with varied structure, and a high degree of readability for the level of its course and this particular assignment.</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Narrative Development</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4"/>
                <w:szCs w:val="14"/>
                <w:rtl w:val="0"/>
              </w:rPr>
              <w:t xml:space="preserve">The narrative is deliberately paced, and demonstrates a very high degree of skill and control when moving from idea to idea, paragraph to paragraph, and sentence to sentence.</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3"/>
        <w:bidi w:val="0"/>
        <w:tblW w:w="131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728"/>
        <w:gridCol w:w="6120"/>
        <w:gridCol w:w="1170"/>
        <w:gridCol w:w="990"/>
        <w:gridCol w:w="810"/>
        <w:gridCol w:w="1080"/>
        <w:gridCol w:w="1260"/>
        <w:tblGridChange w:id="0">
          <w:tblGrid>
            <w:gridCol w:w="1728"/>
            <w:gridCol w:w="6120"/>
            <w:gridCol w:w="1170"/>
            <w:gridCol w:w="990"/>
            <w:gridCol w:w="810"/>
            <w:gridCol w:w="1080"/>
            <w:gridCol w:w="1260"/>
          </w:tblGrid>
        </w:tblGridChange>
      </w:tblGrid>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Grammar, Usage, Punctuation, &amp; Spelling</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4"/>
                <w:szCs w:val="14"/>
                <w:rtl w:val="0"/>
              </w:rPr>
              <w:t xml:space="preserve">The prose is mechanically correct and free of errors in punctuation, grammar, spelling, and usage.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color w:val="000000"/>
                <w:rtl w:val="0"/>
              </w:rPr>
              <w:t xml:space="preserve">Ethos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18"/>
                <w:szCs w:val="18"/>
                <w:rtl w:val="0"/>
              </w:rPr>
              <w:t xml:space="preserve">Ethos</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sz w:val="14"/>
                <w:szCs w:val="14"/>
                <w:rtl w:val="0"/>
              </w:rPr>
              <w:t xml:space="preserve">Throughout the composition, the writer consistently adopts the ethos of a strong, convincing, and credible advocate. </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spacing w:after="0" w:before="0" w:lineRule="auto"/>
      <w:contextualSpacing w:val="1"/>
    </w:pPr>
    <w:rPr>
      <w:b w:val="0"/>
      <w:sz w:val="22"/>
      <w:szCs w:val="22"/>
    </w:rPr>
  </w:style>
  <w:style w:type="paragraph" w:styleId="Heading2">
    <w:name w:val="heading 2"/>
    <w:basedOn w:val="Normal"/>
    <w:next w:val="Normal"/>
    <w:pPr>
      <w:keepNext w:val="0"/>
      <w:keepLines w:val="0"/>
      <w:spacing w:after="0" w:before="0" w:lineRule="auto"/>
      <w:contextualSpacing w:val="1"/>
    </w:pPr>
    <w:rPr>
      <w:b w:val="0"/>
      <w:sz w:val="22"/>
      <w:szCs w:val="22"/>
    </w:rPr>
  </w:style>
  <w:style w:type="paragraph" w:styleId="Heading3">
    <w:name w:val="heading 3"/>
    <w:basedOn w:val="Normal"/>
    <w:next w:val="Normal"/>
    <w:pPr>
      <w:keepNext w:val="0"/>
      <w:keepLines w:val="0"/>
      <w:spacing w:after="0" w:before="0" w:lineRule="auto"/>
      <w:contextualSpacing w:val="1"/>
    </w:pPr>
    <w:rPr>
      <w:b w:val="0"/>
      <w:sz w:val="22"/>
      <w:szCs w:val="22"/>
    </w:rPr>
  </w:style>
  <w:style w:type="paragraph" w:styleId="Heading4">
    <w:name w:val="heading 4"/>
    <w:basedOn w:val="Normal"/>
    <w:next w:val="Normal"/>
    <w:pPr>
      <w:keepNext w:val="0"/>
      <w:keepLines w:val="0"/>
      <w:spacing w:after="0" w:before="0" w:lineRule="auto"/>
      <w:contextualSpacing w:val="1"/>
    </w:pPr>
    <w:rPr>
      <w:b w:val="0"/>
      <w:sz w:val="22"/>
      <w:szCs w:val="22"/>
    </w:rPr>
  </w:style>
  <w:style w:type="paragraph" w:styleId="Heading5">
    <w:name w:val="heading 5"/>
    <w:basedOn w:val="Normal"/>
    <w:next w:val="Normal"/>
    <w:pPr>
      <w:keepNext w:val="0"/>
      <w:keepLines w:val="0"/>
      <w:spacing w:after="0" w:before="0" w:lineRule="auto"/>
      <w:contextualSpacing w:val="1"/>
    </w:pPr>
    <w:rPr>
      <w:b w:val="0"/>
      <w:sz w:val="22"/>
      <w:szCs w:val="22"/>
    </w:rPr>
  </w:style>
  <w:style w:type="paragraph" w:styleId="Heading6">
    <w:name w:val="heading 6"/>
    <w:basedOn w:val="Normal"/>
    <w:next w:val="Normal"/>
    <w:pPr>
      <w:keepNext w:val="0"/>
      <w:keepLines w:val="0"/>
      <w:spacing w:after="0" w:before="0" w:lineRule="auto"/>
      <w:contextualSpacing w:val="1"/>
    </w:pPr>
    <w:rPr>
      <w:b w:val="0"/>
      <w:sz w:val="22"/>
      <w:szCs w:val="22"/>
    </w:rPr>
  </w:style>
  <w:style w:type="paragraph" w:styleId="Title">
    <w:name w:val="Title"/>
    <w:basedOn w:val="Normal"/>
    <w:next w:val="Normal"/>
    <w:pPr>
      <w:keepNext w:val="0"/>
      <w:keepLines w:val="0"/>
      <w:spacing w:after="0" w:before="0" w:lineRule="auto"/>
      <w:contextualSpacing w:val="1"/>
    </w:pPr>
    <w:rPr>
      <w:b w:val="0"/>
      <w:sz w:val="22"/>
      <w:szCs w:val="22"/>
    </w:rPr>
  </w:style>
  <w:style w:type="paragraph" w:styleId="Subtitle">
    <w:name w:val="Subtitle"/>
    <w:basedOn w:val="Normal"/>
    <w:next w:val="Normal"/>
    <w:pPr>
      <w:keepNext w:val="0"/>
      <w:keepLines w:val="0"/>
      <w:spacing w:after="0" w:before="0" w:lineRule="auto"/>
      <w:contextualSpacing w:val="1"/>
    </w:pPr>
    <w:rPr>
      <w:rFonts w:ascii="Arial" w:cs="Arial" w:eastAsia="Arial" w:hAnsi="Arial"/>
      <w:i w:val="0"/>
      <w:color w:val="000000"/>
      <w:sz w:val="22"/>
      <w:szCs w:val="22"/>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cPr>
      <w:shd w:fill="e6eed6"/>
    </w:tcPr>
    <w:tblStylePr w:type="band1Horz">
      <w:pPr>
        <w:contextualSpacing w:val="1"/>
      </w:pPr>
      <w:r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fill="cdddac"/>
        <w:tcMar>
          <w:left w:w="115.0" w:type="dxa"/>
          <w:right w:w="115.0" w:type="dxa"/>
        </w:tcMar>
      </w:tcPr>
    </w:tblStylePr>
    <w:tblStylePr w:type="band1Vert">
      <w:pPr>
        <w:contextualSpacing w:val="1"/>
      </w:pPr>
      <w:rPr/>
      <w:tcPr>
        <w:tcBorders>
          <w:top w:color="ffffff" w:space="0" w:sz="8" w:val="single"/>
          <w:left w:color="ffffff" w:space="0" w:sz="8" w:val="single"/>
          <w:bottom w:color="ffffff" w:space="0" w:sz="8" w:val="single"/>
          <w:right w:color="ffffff" w:space="0" w:sz="8" w:val="single"/>
          <w:insideH w:color="000000" w:space="0" w:sz="0" w:val="nil"/>
          <w:insideV w:color="000000" w:space="0" w:sz="0" w:val="nil"/>
        </w:tcBorders>
        <w:shd w:fill="cdddac"/>
        <w:tcMar>
          <w:left w:w="115.0" w:type="dxa"/>
          <w:right w:w="115.0" w:type="dxa"/>
        </w:tcMar>
      </w:tcPr>
    </w:tblStylePr>
    <w:tblStylePr w:type="band2Horz"/>
    <w:tblStylePr w:type="band2Vert"/>
    <w:tblStylePr w:type="firstCol">
      <w:pPr>
        <w:contextualSpacing w:val="1"/>
      </w:pPr>
      <w:rPr>
        <w:b w:val="1"/>
        <w:i w:val="0"/>
        <w:color w:val="ffffff"/>
      </w:rPr>
      <w:tcPr>
        <w:tcBorders>
          <w:left w:color="ffffff" w:space="0" w:sz="8" w:val="single"/>
          <w:right w:color="ffffff" w:space="0" w:sz="24" w:val="single"/>
          <w:insideH w:color="000000" w:space="0" w:sz="0" w:val="nil"/>
          <w:insideV w:color="000000" w:space="0" w:sz="0" w:val="nil"/>
        </w:tcBorders>
        <w:shd w:fill="9bbb59"/>
        <w:tcMar>
          <w:left w:w="115.0" w:type="dxa"/>
          <w:right w:w="115.0" w:type="dxa"/>
        </w:tcMar>
      </w:tcPr>
    </w:tblStylePr>
    <w:tblStylePr w:type="firstRow">
      <w:pPr>
        <w:contextualSpacing w:val="1"/>
      </w:pPr>
      <w:rPr>
        <w:b w:val="1"/>
        <w:i w:val="0"/>
        <w:color w:val="ffffff"/>
      </w:rPr>
      <w:tcPr>
        <w:tcBorders>
          <w:top w:color="ffffff" w:space="0" w:sz="8" w:val="single"/>
          <w:left w:color="ffffff" w:space="0" w:sz="8" w:val="single"/>
          <w:bottom w:color="ffffff" w:space="0" w:sz="24" w:val="single"/>
          <w:right w:color="ffffff" w:space="0" w:sz="8" w:val="single"/>
          <w:insideH w:color="000000" w:space="0" w:sz="0" w:val="nil"/>
          <w:insideV w:color="ffffff" w:space="0" w:sz="8" w:val="single"/>
        </w:tcBorders>
        <w:shd w:fill="9bbb59"/>
        <w:tcMar>
          <w:left w:w="115.0" w:type="dxa"/>
          <w:right w:w="115.0" w:type="dxa"/>
        </w:tcMar>
      </w:tcPr>
    </w:tblStylePr>
    <w:tblStylePr w:type="lastCol">
      <w:pPr>
        <w:contextualSpacing w:val="1"/>
      </w:pPr>
      <w:rPr>
        <w:b w:val="1"/>
        <w:i w:val="0"/>
        <w:color w:val="ffffff"/>
      </w:rPr>
      <w:tcPr>
        <w:tcBorders>
          <w:top w:color="000000" w:space="0" w:sz="0" w:val="nil"/>
          <w:left w:color="ffffff" w:space="0" w:sz="24" w:val="single"/>
          <w:bottom w:color="000000" w:space="0" w:sz="0" w:val="nil"/>
          <w:right w:color="000000" w:space="0" w:sz="0" w:val="nil"/>
          <w:insideH w:color="000000" w:space="0" w:sz="0" w:val="nil"/>
          <w:insideV w:color="000000" w:space="0" w:sz="0" w:val="nil"/>
        </w:tcBorders>
        <w:shd w:fill="9bbb59"/>
        <w:tcMar>
          <w:left w:w="115.0" w:type="dxa"/>
          <w:right w:w="115.0" w:type="dxa"/>
        </w:tcMar>
      </w:tcPr>
    </w:tblStylePr>
    <w:tblStylePr w:type="lastRow">
      <w:pPr>
        <w:contextualSpacing w:val="1"/>
      </w:pPr>
      <w:rPr>
        <w:b w:val="1"/>
        <w:i w:val="0"/>
        <w:color w:val="ffffff"/>
      </w:rPr>
      <w:tcPr>
        <w:tcBorders>
          <w:top w:color="ffffff" w:space="0" w:sz="24" w:val="single"/>
          <w:left w:color="ffffff" w:space="0" w:sz="8" w:val="single"/>
          <w:bottom w:color="ffffff" w:space="0" w:sz="8" w:val="single"/>
          <w:right w:color="ffffff" w:space="0" w:sz="8" w:val="single"/>
          <w:insideH w:color="000000" w:space="0" w:sz="0" w:val="nil"/>
          <w:insideV w:color="ffffff" w:space="0" w:sz="8" w:val="single"/>
        </w:tcBorders>
        <w:shd w:fill="9bbb59"/>
        <w:tcMar>
          <w:left w:w="115.0" w:type="dxa"/>
          <w:right w:w="115.0" w:type="dxa"/>
        </w:tcMar>
      </w:tcPr>
    </w:tblStylePr>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cPr>
      <w:shd w:fill="e6eed6"/>
    </w:tcPr>
    <w:tblStylePr w:type="band1Horz">
      <w:pPr>
        <w:contextualSpacing w:val="1"/>
      </w:pPr>
      <w:r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fill="cdddac"/>
        <w:tcMar>
          <w:left w:w="115.0" w:type="dxa"/>
          <w:right w:w="115.0" w:type="dxa"/>
        </w:tcMar>
      </w:tcPr>
    </w:tblStylePr>
    <w:tblStylePr w:type="band1Vert">
      <w:pPr>
        <w:contextualSpacing w:val="1"/>
      </w:pPr>
      <w:rPr/>
      <w:tcPr>
        <w:tcBorders>
          <w:top w:color="ffffff" w:space="0" w:sz="8" w:val="single"/>
          <w:left w:color="ffffff" w:space="0" w:sz="8" w:val="single"/>
          <w:bottom w:color="ffffff" w:space="0" w:sz="8" w:val="single"/>
          <w:right w:color="ffffff" w:space="0" w:sz="8" w:val="single"/>
          <w:insideH w:color="000000" w:space="0" w:sz="0" w:val="nil"/>
          <w:insideV w:color="000000" w:space="0" w:sz="0" w:val="nil"/>
        </w:tcBorders>
        <w:shd w:fill="cdddac"/>
        <w:tcMar>
          <w:left w:w="115.0" w:type="dxa"/>
          <w:right w:w="115.0" w:type="dxa"/>
        </w:tcMar>
      </w:tcPr>
    </w:tblStylePr>
    <w:tblStylePr w:type="band2Horz"/>
    <w:tblStylePr w:type="band2Vert"/>
    <w:tblStylePr w:type="firstCol">
      <w:pPr>
        <w:contextualSpacing w:val="1"/>
      </w:pPr>
      <w:rPr>
        <w:b w:val="1"/>
        <w:i w:val="0"/>
        <w:color w:val="ffffff"/>
      </w:rPr>
      <w:tcPr>
        <w:tcBorders>
          <w:left w:color="ffffff" w:space="0" w:sz="8" w:val="single"/>
          <w:right w:color="ffffff" w:space="0" w:sz="24" w:val="single"/>
          <w:insideH w:color="000000" w:space="0" w:sz="0" w:val="nil"/>
          <w:insideV w:color="000000" w:space="0" w:sz="0" w:val="nil"/>
        </w:tcBorders>
        <w:shd w:fill="9bbb59"/>
        <w:tcMar>
          <w:left w:w="115.0" w:type="dxa"/>
          <w:right w:w="115.0" w:type="dxa"/>
        </w:tcMar>
      </w:tcPr>
    </w:tblStylePr>
    <w:tblStylePr w:type="firstRow">
      <w:pPr>
        <w:contextualSpacing w:val="1"/>
      </w:pPr>
      <w:rPr>
        <w:b w:val="1"/>
        <w:i w:val="0"/>
        <w:color w:val="ffffff"/>
      </w:rPr>
      <w:tcPr>
        <w:tcBorders>
          <w:top w:color="ffffff" w:space="0" w:sz="8" w:val="single"/>
          <w:left w:color="ffffff" w:space="0" w:sz="8" w:val="single"/>
          <w:bottom w:color="ffffff" w:space="0" w:sz="24" w:val="single"/>
          <w:right w:color="ffffff" w:space="0" w:sz="8" w:val="single"/>
          <w:insideH w:color="000000" w:space="0" w:sz="0" w:val="nil"/>
          <w:insideV w:color="ffffff" w:space="0" w:sz="8" w:val="single"/>
        </w:tcBorders>
        <w:shd w:fill="9bbb59"/>
        <w:tcMar>
          <w:left w:w="115.0" w:type="dxa"/>
          <w:right w:w="115.0" w:type="dxa"/>
        </w:tcMar>
      </w:tcPr>
    </w:tblStylePr>
    <w:tblStylePr w:type="lastCol">
      <w:pPr>
        <w:contextualSpacing w:val="1"/>
      </w:pPr>
      <w:rPr>
        <w:b w:val="1"/>
        <w:i w:val="0"/>
        <w:color w:val="ffffff"/>
      </w:rPr>
      <w:tcPr>
        <w:tcBorders>
          <w:top w:color="000000" w:space="0" w:sz="0" w:val="nil"/>
          <w:left w:color="ffffff" w:space="0" w:sz="24" w:val="single"/>
          <w:bottom w:color="000000" w:space="0" w:sz="0" w:val="nil"/>
          <w:right w:color="000000" w:space="0" w:sz="0" w:val="nil"/>
          <w:insideH w:color="000000" w:space="0" w:sz="0" w:val="nil"/>
          <w:insideV w:color="000000" w:space="0" w:sz="0" w:val="nil"/>
        </w:tcBorders>
        <w:shd w:fill="9bbb59"/>
        <w:tcMar>
          <w:left w:w="115.0" w:type="dxa"/>
          <w:right w:w="115.0" w:type="dxa"/>
        </w:tcMar>
      </w:tcPr>
    </w:tblStylePr>
    <w:tblStylePr w:type="lastRow">
      <w:pPr>
        <w:contextualSpacing w:val="1"/>
      </w:pPr>
      <w:rPr>
        <w:b w:val="1"/>
        <w:i w:val="0"/>
        <w:color w:val="ffffff"/>
      </w:rPr>
      <w:tcPr>
        <w:tcBorders>
          <w:top w:color="ffffff" w:space="0" w:sz="24" w:val="single"/>
          <w:left w:color="ffffff" w:space="0" w:sz="8" w:val="single"/>
          <w:bottom w:color="ffffff" w:space="0" w:sz="8" w:val="single"/>
          <w:right w:color="ffffff" w:space="0" w:sz="8" w:val="single"/>
          <w:insideH w:color="000000" w:space="0" w:sz="0" w:val="nil"/>
          <w:insideV w:color="ffffff" w:space="0" w:sz="8" w:val="single"/>
        </w:tcBorders>
        <w:shd w:fill="9bbb59"/>
        <w:tcMar>
          <w:left w:w="115.0" w:type="dxa"/>
          <w:right w:w="115.0" w:type="dxa"/>
        </w:tcMar>
      </w:tcPr>
    </w:tblStylePr>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cPr>
      <w:shd w:fill="e6eed6"/>
    </w:tcPr>
    <w:tblStylePr w:type="band1Horz">
      <w:pPr>
        <w:contextualSpacing w:val="1"/>
      </w:pPr>
      <w:r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fill="cdddac"/>
        <w:tcMar>
          <w:left w:w="115.0" w:type="dxa"/>
          <w:right w:w="115.0" w:type="dxa"/>
        </w:tcMar>
      </w:tcPr>
    </w:tblStylePr>
    <w:tblStylePr w:type="band1Vert">
      <w:pPr>
        <w:contextualSpacing w:val="1"/>
      </w:pPr>
      <w:rPr/>
      <w:tcPr>
        <w:tcBorders>
          <w:top w:color="ffffff" w:space="0" w:sz="8" w:val="single"/>
          <w:left w:color="ffffff" w:space="0" w:sz="8" w:val="single"/>
          <w:bottom w:color="ffffff" w:space="0" w:sz="8" w:val="single"/>
          <w:right w:color="ffffff" w:space="0" w:sz="8" w:val="single"/>
          <w:insideH w:color="000000" w:space="0" w:sz="0" w:val="nil"/>
          <w:insideV w:color="000000" w:space="0" w:sz="0" w:val="nil"/>
        </w:tcBorders>
        <w:shd w:fill="cdddac"/>
        <w:tcMar>
          <w:left w:w="115.0" w:type="dxa"/>
          <w:right w:w="115.0" w:type="dxa"/>
        </w:tcMar>
      </w:tcPr>
    </w:tblStylePr>
    <w:tblStylePr w:type="band2Horz"/>
    <w:tblStylePr w:type="band2Vert"/>
    <w:tblStylePr w:type="firstCol">
      <w:pPr>
        <w:contextualSpacing w:val="1"/>
      </w:pPr>
      <w:rPr>
        <w:b w:val="1"/>
        <w:i w:val="0"/>
        <w:color w:val="ffffff"/>
      </w:rPr>
      <w:tcPr>
        <w:tcBorders>
          <w:left w:color="ffffff" w:space="0" w:sz="8" w:val="single"/>
          <w:right w:color="ffffff" w:space="0" w:sz="24" w:val="single"/>
          <w:insideH w:color="000000" w:space="0" w:sz="0" w:val="nil"/>
          <w:insideV w:color="000000" w:space="0" w:sz="0" w:val="nil"/>
        </w:tcBorders>
        <w:shd w:fill="9bbb59"/>
        <w:tcMar>
          <w:left w:w="115.0" w:type="dxa"/>
          <w:right w:w="115.0" w:type="dxa"/>
        </w:tcMar>
      </w:tcPr>
    </w:tblStylePr>
    <w:tblStylePr w:type="firstRow">
      <w:pPr>
        <w:contextualSpacing w:val="1"/>
      </w:pPr>
      <w:rPr>
        <w:b w:val="1"/>
        <w:i w:val="0"/>
        <w:color w:val="ffffff"/>
      </w:rPr>
      <w:tcPr>
        <w:tcBorders>
          <w:top w:color="ffffff" w:space="0" w:sz="8" w:val="single"/>
          <w:left w:color="ffffff" w:space="0" w:sz="8" w:val="single"/>
          <w:bottom w:color="ffffff" w:space="0" w:sz="24" w:val="single"/>
          <w:right w:color="ffffff" w:space="0" w:sz="8" w:val="single"/>
          <w:insideH w:color="000000" w:space="0" w:sz="0" w:val="nil"/>
          <w:insideV w:color="ffffff" w:space="0" w:sz="8" w:val="single"/>
        </w:tcBorders>
        <w:shd w:fill="9bbb59"/>
        <w:tcMar>
          <w:left w:w="115.0" w:type="dxa"/>
          <w:right w:w="115.0" w:type="dxa"/>
        </w:tcMar>
      </w:tcPr>
    </w:tblStylePr>
    <w:tblStylePr w:type="lastCol">
      <w:pPr>
        <w:contextualSpacing w:val="1"/>
      </w:pPr>
      <w:rPr>
        <w:b w:val="1"/>
        <w:i w:val="0"/>
        <w:color w:val="ffffff"/>
      </w:rPr>
      <w:tcPr>
        <w:tcBorders>
          <w:top w:color="000000" w:space="0" w:sz="0" w:val="nil"/>
          <w:left w:color="ffffff" w:space="0" w:sz="24" w:val="single"/>
          <w:bottom w:color="000000" w:space="0" w:sz="0" w:val="nil"/>
          <w:right w:color="000000" w:space="0" w:sz="0" w:val="nil"/>
          <w:insideH w:color="000000" w:space="0" w:sz="0" w:val="nil"/>
          <w:insideV w:color="000000" w:space="0" w:sz="0" w:val="nil"/>
        </w:tcBorders>
        <w:shd w:fill="9bbb59"/>
        <w:tcMar>
          <w:left w:w="115.0" w:type="dxa"/>
          <w:right w:w="115.0" w:type="dxa"/>
        </w:tcMar>
      </w:tcPr>
    </w:tblStylePr>
    <w:tblStylePr w:type="lastRow">
      <w:pPr>
        <w:contextualSpacing w:val="1"/>
      </w:pPr>
      <w:rPr>
        <w:b w:val="1"/>
        <w:i w:val="0"/>
        <w:color w:val="ffffff"/>
      </w:rPr>
      <w:tcPr>
        <w:tcBorders>
          <w:top w:color="ffffff" w:space="0" w:sz="24" w:val="single"/>
          <w:left w:color="ffffff" w:space="0" w:sz="8" w:val="single"/>
          <w:bottom w:color="ffffff" w:space="0" w:sz="8" w:val="single"/>
          <w:right w:color="ffffff" w:space="0" w:sz="8" w:val="single"/>
          <w:insideH w:color="000000" w:space="0" w:sz="0" w:val="nil"/>
          <w:insideV w:color="ffffff" w:space="0" w:sz="8" w:val="single"/>
        </w:tcBorders>
        <w:shd w:fill="9bbb59"/>
        <w:tcMar>
          <w:left w:w="115.0" w:type="dxa"/>
          <w:right w:w="115.0" w:type="dxa"/>
        </w:tcMar>
      </w:tcPr>
    </w:tblStylePr>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